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360" w:lineRule="exact"/>
        <w:rPr>
          <w:rFonts w:hint="eastAsia" w:ascii="黑体" w:hAnsi="黑体" w:eastAsia="黑体" w:cs="黑体"/>
          <w:color w:val="000000"/>
          <w:sz w:val="32"/>
          <w:szCs w:val="28"/>
        </w:rPr>
      </w:pPr>
      <w:r>
        <w:rPr>
          <w:rFonts w:hint="eastAsia" w:ascii="黑体" w:hAnsi="黑体" w:eastAsia="黑体" w:cs="黑体"/>
          <w:color w:val="000000"/>
          <w:sz w:val="32"/>
          <w:szCs w:val="28"/>
        </w:rPr>
        <w:t>附件1</w:t>
      </w:r>
    </w:p>
    <w:p>
      <w:pPr>
        <w:pStyle w:val="5"/>
        <w:jc w:val="center"/>
        <w:rPr>
          <w:rFonts w:ascii="宋体" w:hAnsi="宋体" w:cs="宋体"/>
          <w:b/>
          <w:bCs/>
          <w:spacing w:val="-6"/>
          <w:sz w:val="36"/>
          <w:szCs w:val="36"/>
        </w:rPr>
      </w:pPr>
      <w:r>
        <w:rPr>
          <w:rFonts w:hint="eastAsia" w:ascii="方正小标宋简体" w:eastAsia="方正小标宋简体"/>
          <w:bCs/>
          <w:color w:val="000000"/>
          <w:sz w:val="32"/>
          <w:szCs w:val="28"/>
        </w:rPr>
        <w:t>蚊媒量化监控记录统计表</w:t>
      </w:r>
    </w:p>
    <w:p>
      <w:pPr>
        <w:pStyle w:val="5"/>
        <w:jc w:val="center"/>
        <w:rPr>
          <w:rFonts w:ascii="宋体" w:hAnsi="宋体" w:cs="宋体"/>
          <w:b/>
          <w:bCs/>
          <w:spacing w:val="-6"/>
          <w:sz w:val="36"/>
          <w:szCs w:val="36"/>
        </w:rPr>
      </w:pPr>
      <w:r>
        <w:rPr>
          <w:rFonts w:hint="eastAsia"/>
        </w:rPr>
        <w:t>环境类型：居民区□；物业小区</w:t>
      </w:r>
      <w:r>
        <w:rPr>
          <w:rFonts w:hint="eastAsia"/>
        </w:rPr>
        <w:sym w:font="Wingdings 2" w:char="00A3"/>
      </w:r>
      <w:r>
        <w:rPr>
          <w:rFonts w:hint="eastAsia"/>
        </w:rPr>
        <w:t>；学校□；医院</w:t>
      </w:r>
      <w:r>
        <w:rPr>
          <w:rFonts w:hint="eastAsia"/>
        </w:rPr>
        <w:sym w:font="Wingdings 2" w:char="00A3"/>
      </w:r>
      <w:r>
        <w:rPr>
          <w:rFonts w:hint="eastAsia"/>
        </w:rPr>
        <w:t xml:space="preserve"> 其它□</w:t>
      </w:r>
    </w:p>
    <w:p>
      <w:pPr>
        <w:pStyle w:val="5"/>
        <w:ind w:firstLine="606" w:firstLineChars="196"/>
        <w:rPr>
          <w:rFonts w:hint="eastAsia" w:ascii="宋体" w:hAnsi="宋体" w:cs="宋体"/>
          <w:spacing w:val="-6"/>
          <w:szCs w:val="21"/>
        </w:rPr>
      </w:pPr>
      <w:r>
        <w:rPr>
          <w:rFonts w:ascii="宋体" w:hAnsi="宋体" w:cs="宋体"/>
          <w:b/>
          <w:bCs/>
          <w:spacing w:val="-6"/>
          <w:sz w:val="32"/>
          <w:szCs w:val="32"/>
        </w:rPr>
        <w:t xml:space="preserve">  </w:t>
      </w:r>
      <w:r>
        <w:rPr>
          <w:rFonts w:hint="eastAsia" w:ascii="宋体" w:hAnsi="宋体" w:cs="宋体"/>
          <w:spacing w:val="-6"/>
          <w:szCs w:val="21"/>
        </w:rPr>
        <w:t>广东省</w:t>
      </w:r>
      <w:r>
        <w:rPr>
          <w:rFonts w:hint="eastAsia" w:ascii="宋体" w:hAnsi="宋体" w:cs="宋体"/>
          <w:spacing w:val="-6"/>
          <w:szCs w:val="21"/>
          <w:u w:val="single"/>
        </w:rPr>
        <w:t xml:space="preserve">      </w:t>
      </w:r>
      <w:r>
        <w:rPr>
          <w:rFonts w:hint="eastAsia" w:ascii="宋体" w:hAnsi="宋体" w:cs="宋体"/>
          <w:spacing w:val="-6"/>
          <w:szCs w:val="21"/>
        </w:rPr>
        <w:t>市</w:t>
      </w:r>
      <w:r>
        <w:rPr>
          <w:rFonts w:hint="eastAsia" w:ascii="宋体" w:hAnsi="宋体" w:cs="宋体"/>
          <w:spacing w:val="-6"/>
          <w:szCs w:val="21"/>
          <w:u w:val="single"/>
        </w:rPr>
        <w:t xml:space="preserve">        </w:t>
      </w:r>
      <w:r>
        <w:rPr>
          <w:rFonts w:hint="eastAsia" w:ascii="宋体" w:hAnsi="宋体" w:cs="宋体"/>
          <w:spacing w:val="-6"/>
          <w:szCs w:val="21"/>
        </w:rPr>
        <w:t>区（县）</w:t>
      </w:r>
      <w:r>
        <w:rPr>
          <w:rFonts w:hint="eastAsia" w:ascii="宋体" w:hAnsi="宋体" w:cs="宋体"/>
          <w:spacing w:val="-6"/>
          <w:szCs w:val="21"/>
          <w:u w:val="single"/>
        </w:rPr>
        <w:t xml:space="preserve">       </w:t>
      </w:r>
      <w:r>
        <w:rPr>
          <w:rFonts w:hint="eastAsia" w:ascii="宋体" w:hAnsi="宋体" w:cs="宋体"/>
          <w:spacing w:val="-6"/>
          <w:szCs w:val="21"/>
        </w:rPr>
        <w:t xml:space="preserve"> 镇（街）                          </w:t>
      </w:r>
      <w:r>
        <w:rPr>
          <w:rFonts w:hint="eastAsia" w:ascii="宋体" w:hAnsi="宋体" w:cs="宋体"/>
          <w:spacing w:val="-6"/>
          <w:szCs w:val="21"/>
          <w:u w:val="single"/>
        </w:rPr>
        <w:t xml:space="preserve">       </w:t>
      </w:r>
      <w:r>
        <w:rPr>
          <w:rFonts w:hint="eastAsia" w:ascii="宋体" w:hAnsi="宋体" w:cs="宋体"/>
          <w:spacing w:val="-6"/>
          <w:szCs w:val="21"/>
        </w:rPr>
        <w:t>年</w:t>
      </w:r>
      <w:r>
        <w:rPr>
          <w:rFonts w:hint="eastAsia" w:ascii="宋体" w:hAnsi="宋体" w:cs="宋体"/>
          <w:spacing w:val="-6"/>
          <w:szCs w:val="21"/>
          <w:u w:val="single"/>
        </w:rPr>
        <w:t xml:space="preserve">     </w:t>
      </w:r>
      <w:r>
        <w:rPr>
          <w:rFonts w:hint="eastAsia" w:ascii="宋体" w:hAnsi="宋体" w:cs="宋体"/>
          <w:spacing w:val="-6"/>
          <w:szCs w:val="21"/>
        </w:rPr>
        <w:t>月</w:t>
      </w:r>
      <w:r>
        <w:rPr>
          <w:rFonts w:hint="eastAsia" w:ascii="宋体" w:hAnsi="宋体" w:cs="宋体"/>
          <w:spacing w:val="-6"/>
          <w:szCs w:val="21"/>
          <w:u w:val="single"/>
        </w:rPr>
        <w:t xml:space="preserve">     </w:t>
      </w:r>
      <w:r>
        <w:rPr>
          <w:rFonts w:hint="eastAsia" w:ascii="宋体" w:hAnsi="宋体" w:cs="宋体"/>
          <w:spacing w:val="-6"/>
          <w:szCs w:val="21"/>
        </w:rPr>
        <w:t xml:space="preserve">日 至 </w:t>
      </w:r>
      <w:r>
        <w:rPr>
          <w:rFonts w:hint="eastAsia" w:ascii="宋体" w:hAnsi="宋体" w:cs="宋体"/>
          <w:spacing w:val="-6"/>
          <w:szCs w:val="21"/>
          <w:u w:val="single"/>
        </w:rPr>
        <w:t xml:space="preserve">     </w:t>
      </w:r>
      <w:r>
        <w:rPr>
          <w:rFonts w:hint="eastAsia" w:ascii="宋体" w:hAnsi="宋体" w:cs="宋体"/>
          <w:spacing w:val="-6"/>
          <w:szCs w:val="21"/>
        </w:rPr>
        <w:t>日</w:t>
      </w:r>
    </w:p>
    <w:tbl>
      <w:tblPr>
        <w:tblStyle w:val="2"/>
        <w:tblW w:w="1192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17"/>
        <w:gridCol w:w="1313"/>
        <w:gridCol w:w="2004"/>
        <w:gridCol w:w="1279"/>
        <w:gridCol w:w="1925"/>
        <w:gridCol w:w="20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exact"/>
          <w:jc w:val="center"/>
        </w:trPr>
        <w:tc>
          <w:tcPr>
            <w:tcW w:w="3317" w:type="dxa"/>
            <w:vAlign w:val="center"/>
          </w:tcPr>
          <w:p>
            <w:pPr>
              <w:pStyle w:val="5"/>
              <w:jc w:val="center"/>
              <w:rPr>
                <w:rFonts w:hint="eastAsia" w:ascii="宋体" w:hAnsi="宋体" w:cs="宋体"/>
                <w:spacing w:val="-6"/>
                <w:szCs w:val="21"/>
              </w:rPr>
            </w:pPr>
            <w:r>
              <w:rPr>
                <w:rFonts w:hint="eastAsia" w:ascii="宋体" w:hAnsi="宋体" w:cs="宋体"/>
                <w:spacing w:val="-6"/>
                <w:szCs w:val="21"/>
              </w:rPr>
              <w:t>村（居）/物业小区/学校/医院名称</w:t>
            </w:r>
          </w:p>
        </w:tc>
        <w:tc>
          <w:tcPr>
            <w:tcW w:w="1313" w:type="dxa"/>
            <w:vAlign w:val="center"/>
          </w:tcPr>
          <w:p>
            <w:pPr>
              <w:pStyle w:val="5"/>
              <w:jc w:val="center"/>
              <w:rPr>
                <w:rFonts w:hint="eastAsia" w:ascii="宋体" w:hAnsi="宋体" w:cs="宋体"/>
                <w:spacing w:val="-6"/>
                <w:szCs w:val="21"/>
              </w:rPr>
            </w:pPr>
            <w:r>
              <w:rPr>
                <w:rFonts w:hint="eastAsia" w:ascii="宋体" w:hAnsi="宋体" w:cs="宋体"/>
                <w:spacing w:val="-6"/>
                <w:szCs w:val="21"/>
              </w:rPr>
              <w:t>巡查户数</w:t>
            </w:r>
          </w:p>
        </w:tc>
        <w:tc>
          <w:tcPr>
            <w:tcW w:w="2004" w:type="dxa"/>
            <w:vAlign w:val="center"/>
          </w:tcPr>
          <w:p>
            <w:pPr>
              <w:pStyle w:val="5"/>
              <w:jc w:val="center"/>
              <w:rPr>
                <w:rFonts w:hint="eastAsia" w:ascii="宋体" w:hAnsi="宋体" w:cs="宋体"/>
                <w:spacing w:val="-6"/>
                <w:szCs w:val="21"/>
              </w:rPr>
            </w:pPr>
            <w:r>
              <w:rPr>
                <w:rFonts w:hint="eastAsia" w:ascii="宋体" w:hAnsi="宋体" w:cs="宋体"/>
                <w:spacing w:val="-6"/>
                <w:szCs w:val="21"/>
              </w:rPr>
              <w:t>巡查自建屋工地数</w:t>
            </w:r>
          </w:p>
        </w:tc>
        <w:tc>
          <w:tcPr>
            <w:tcW w:w="1279" w:type="dxa"/>
            <w:vAlign w:val="center"/>
          </w:tcPr>
          <w:p>
            <w:pPr>
              <w:pStyle w:val="5"/>
              <w:jc w:val="center"/>
              <w:rPr>
                <w:rFonts w:hint="eastAsia" w:ascii="宋体" w:hAnsi="宋体" w:cs="宋体"/>
                <w:spacing w:val="-6"/>
                <w:szCs w:val="21"/>
              </w:rPr>
            </w:pPr>
            <w:r>
              <w:rPr>
                <w:rFonts w:hint="eastAsia" w:ascii="宋体" w:hAnsi="宋体" w:cs="宋体"/>
                <w:spacing w:val="-6"/>
                <w:szCs w:val="21"/>
              </w:rPr>
              <w:t>风险户数</w:t>
            </w:r>
          </w:p>
        </w:tc>
        <w:tc>
          <w:tcPr>
            <w:tcW w:w="1925" w:type="dxa"/>
            <w:vAlign w:val="center"/>
          </w:tcPr>
          <w:p>
            <w:pPr>
              <w:pStyle w:val="5"/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spacing w:val="-6"/>
                <w:szCs w:val="21"/>
              </w:rPr>
              <w:t>公共区域巡查</w:t>
            </w:r>
            <w:r>
              <w:rPr>
                <w:rFonts w:hint="eastAsia"/>
              </w:rPr>
              <w:t>距离</w:t>
            </w:r>
          </w:p>
          <w:p>
            <w:pPr>
              <w:pStyle w:val="5"/>
              <w:jc w:val="center"/>
              <w:rPr>
                <w:rFonts w:hint="eastAsia" w:ascii="宋体" w:hAnsi="宋体" w:cs="宋体"/>
                <w:spacing w:val="-6"/>
                <w:szCs w:val="21"/>
              </w:rPr>
            </w:pPr>
            <w:r>
              <w:rPr>
                <w:rFonts w:hint="eastAsia" w:ascii="宋体" w:hAnsi="宋体" w:cs="宋体"/>
                <w:spacing w:val="-6"/>
                <w:szCs w:val="21"/>
              </w:rPr>
              <w:t>（约米）</w:t>
            </w:r>
          </w:p>
        </w:tc>
        <w:tc>
          <w:tcPr>
            <w:tcW w:w="2085" w:type="dxa"/>
            <w:vAlign w:val="center"/>
          </w:tcPr>
          <w:p>
            <w:pPr>
              <w:pStyle w:val="5"/>
              <w:jc w:val="center"/>
              <w:rPr>
                <w:rFonts w:hint="eastAsia" w:ascii="宋体" w:hAnsi="宋体" w:cs="宋体"/>
                <w:spacing w:val="-6"/>
                <w:szCs w:val="21"/>
              </w:rPr>
            </w:pPr>
            <w:r>
              <w:rPr>
                <w:rFonts w:hint="eastAsia" w:ascii="宋体" w:hAnsi="宋体" w:cs="宋体"/>
                <w:spacing w:val="-6"/>
                <w:szCs w:val="21"/>
              </w:rPr>
              <w:t>清除孳生地数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317" w:type="dxa"/>
            <w:vAlign w:val="top"/>
          </w:tcPr>
          <w:p>
            <w:pPr>
              <w:pStyle w:val="5"/>
              <w:rPr>
                <w:rFonts w:ascii="仿宋_GB2312" w:hAnsi="仿宋_GB2312" w:eastAsia="仿宋_GB2312" w:cs="仿宋_GB2312"/>
                <w:spacing w:val="-6"/>
                <w:sz w:val="32"/>
              </w:rPr>
            </w:pPr>
          </w:p>
        </w:tc>
        <w:tc>
          <w:tcPr>
            <w:tcW w:w="1313" w:type="dxa"/>
            <w:vAlign w:val="top"/>
          </w:tcPr>
          <w:p>
            <w:pPr>
              <w:pStyle w:val="5"/>
              <w:rPr>
                <w:rFonts w:ascii="仿宋_GB2312" w:hAnsi="仿宋_GB2312" w:eastAsia="仿宋_GB2312" w:cs="仿宋_GB2312"/>
                <w:spacing w:val="-6"/>
                <w:sz w:val="32"/>
              </w:rPr>
            </w:pPr>
          </w:p>
        </w:tc>
        <w:tc>
          <w:tcPr>
            <w:tcW w:w="2004" w:type="dxa"/>
            <w:vAlign w:val="top"/>
          </w:tcPr>
          <w:p>
            <w:pPr>
              <w:pStyle w:val="5"/>
              <w:rPr>
                <w:rFonts w:ascii="仿宋_GB2312" w:hAnsi="仿宋_GB2312" w:eastAsia="仿宋_GB2312" w:cs="仿宋_GB2312"/>
                <w:spacing w:val="-6"/>
                <w:sz w:val="32"/>
              </w:rPr>
            </w:pPr>
          </w:p>
        </w:tc>
        <w:tc>
          <w:tcPr>
            <w:tcW w:w="1279" w:type="dxa"/>
            <w:vAlign w:val="top"/>
          </w:tcPr>
          <w:p>
            <w:pPr>
              <w:pStyle w:val="5"/>
              <w:rPr>
                <w:rFonts w:ascii="仿宋_GB2312" w:hAnsi="仿宋_GB2312" w:eastAsia="仿宋_GB2312" w:cs="仿宋_GB2312"/>
                <w:spacing w:val="-6"/>
                <w:sz w:val="32"/>
              </w:rPr>
            </w:pPr>
          </w:p>
        </w:tc>
        <w:tc>
          <w:tcPr>
            <w:tcW w:w="1925" w:type="dxa"/>
            <w:vAlign w:val="top"/>
          </w:tcPr>
          <w:p>
            <w:pPr>
              <w:pStyle w:val="5"/>
              <w:rPr>
                <w:rFonts w:ascii="仿宋_GB2312" w:hAnsi="仿宋_GB2312" w:eastAsia="仿宋_GB2312" w:cs="仿宋_GB2312"/>
                <w:spacing w:val="-6"/>
                <w:sz w:val="32"/>
              </w:rPr>
            </w:pPr>
          </w:p>
        </w:tc>
        <w:tc>
          <w:tcPr>
            <w:tcW w:w="2085" w:type="dxa"/>
            <w:vAlign w:val="top"/>
          </w:tcPr>
          <w:p>
            <w:pPr>
              <w:pStyle w:val="5"/>
              <w:rPr>
                <w:rFonts w:ascii="仿宋_GB2312" w:hAnsi="仿宋_GB2312" w:eastAsia="仿宋_GB2312" w:cs="仿宋_GB2312"/>
                <w:spacing w:val="-6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317" w:type="dxa"/>
            <w:vAlign w:val="top"/>
          </w:tcPr>
          <w:p>
            <w:pPr>
              <w:pStyle w:val="5"/>
              <w:rPr>
                <w:rFonts w:ascii="仿宋_GB2312" w:hAnsi="仿宋_GB2312" w:eastAsia="仿宋_GB2312" w:cs="仿宋_GB2312"/>
                <w:spacing w:val="-6"/>
                <w:sz w:val="32"/>
              </w:rPr>
            </w:pPr>
          </w:p>
        </w:tc>
        <w:tc>
          <w:tcPr>
            <w:tcW w:w="1313" w:type="dxa"/>
            <w:vAlign w:val="top"/>
          </w:tcPr>
          <w:p>
            <w:pPr>
              <w:pStyle w:val="5"/>
              <w:rPr>
                <w:rFonts w:ascii="仿宋_GB2312" w:hAnsi="仿宋_GB2312" w:eastAsia="仿宋_GB2312" w:cs="仿宋_GB2312"/>
                <w:spacing w:val="-6"/>
                <w:sz w:val="32"/>
              </w:rPr>
            </w:pPr>
          </w:p>
        </w:tc>
        <w:tc>
          <w:tcPr>
            <w:tcW w:w="2004" w:type="dxa"/>
            <w:vAlign w:val="top"/>
          </w:tcPr>
          <w:p>
            <w:pPr>
              <w:pStyle w:val="5"/>
              <w:rPr>
                <w:rFonts w:ascii="仿宋_GB2312" w:hAnsi="仿宋_GB2312" w:eastAsia="仿宋_GB2312" w:cs="仿宋_GB2312"/>
                <w:spacing w:val="-6"/>
                <w:sz w:val="32"/>
              </w:rPr>
            </w:pPr>
          </w:p>
        </w:tc>
        <w:tc>
          <w:tcPr>
            <w:tcW w:w="1279" w:type="dxa"/>
            <w:vAlign w:val="top"/>
          </w:tcPr>
          <w:p>
            <w:pPr>
              <w:pStyle w:val="5"/>
              <w:rPr>
                <w:rFonts w:ascii="仿宋_GB2312" w:hAnsi="仿宋_GB2312" w:eastAsia="仿宋_GB2312" w:cs="仿宋_GB2312"/>
                <w:spacing w:val="-6"/>
                <w:sz w:val="32"/>
              </w:rPr>
            </w:pPr>
          </w:p>
        </w:tc>
        <w:tc>
          <w:tcPr>
            <w:tcW w:w="1925" w:type="dxa"/>
            <w:vAlign w:val="top"/>
          </w:tcPr>
          <w:p>
            <w:pPr>
              <w:pStyle w:val="5"/>
              <w:rPr>
                <w:rFonts w:ascii="仿宋_GB2312" w:hAnsi="仿宋_GB2312" w:eastAsia="仿宋_GB2312" w:cs="仿宋_GB2312"/>
                <w:spacing w:val="-6"/>
                <w:sz w:val="32"/>
              </w:rPr>
            </w:pPr>
          </w:p>
        </w:tc>
        <w:tc>
          <w:tcPr>
            <w:tcW w:w="2085" w:type="dxa"/>
            <w:vAlign w:val="top"/>
          </w:tcPr>
          <w:p>
            <w:pPr>
              <w:pStyle w:val="5"/>
              <w:rPr>
                <w:rFonts w:ascii="仿宋_GB2312" w:hAnsi="仿宋_GB2312" w:eastAsia="仿宋_GB2312" w:cs="仿宋_GB2312"/>
                <w:spacing w:val="-6"/>
                <w:sz w:val="36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317" w:type="dxa"/>
            <w:vAlign w:val="top"/>
          </w:tcPr>
          <w:p>
            <w:pPr>
              <w:pStyle w:val="5"/>
              <w:rPr>
                <w:rFonts w:ascii="仿宋_GB2312" w:hAnsi="仿宋_GB2312" w:eastAsia="仿宋_GB2312" w:cs="仿宋_GB2312"/>
                <w:spacing w:val="-6"/>
                <w:sz w:val="32"/>
              </w:rPr>
            </w:pPr>
          </w:p>
        </w:tc>
        <w:tc>
          <w:tcPr>
            <w:tcW w:w="1313" w:type="dxa"/>
            <w:vAlign w:val="top"/>
          </w:tcPr>
          <w:p>
            <w:pPr>
              <w:pStyle w:val="5"/>
              <w:rPr>
                <w:rFonts w:ascii="仿宋_GB2312" w:hAnsi="仿宋_GB2312" w:eastAsia="仿宋_GB2312" w:cs="仿宋_GB2312"/>
                <w:spacing w:val="-6"/>
                <w:sz w:val="32"/>
              </w:rPr>
            </w:pPr>
          </w:p>
        </w:tc>
        <w:tc>
          <w:tcPr>
            <w:tcW w:w="2004" w:type="dxa"/>
            <w:vAlign w:val="top"/>
          </w:tcPr>
          <w:p>
            <w:pPr>
              <w:pStyle w:val="5"/>
              <w:rPr>
                <w:rFonts w:ascii="仿宋_GB2312" w:hAnsi="仿宋_GB2312" w:eastAsia="仿宋_GB2312" w:cs="仿宋_GB2312"/>
                <w:spacing w:val="-6"/>
                <w:sz w:val="32"/>
              </w:rPr>
            </w:pPr>
          </w:p>
        </w:tc>
        <w:tc>
          <w:tcPr>
            <w:tcW w:w="1279" w:type="dxa"/>
            <w:vAlign w:val="top"/>
          </w:tcPr>
          <w:p>
            <w:pPr>
              <w:pStyle w:val="5"/>
              <w:rPr>
                <w:rFonts w:ascii="仿宋_GB2312" w:hAnsi="仿宋_GB2312" w:eastAsia="仿宋_GB2312" w:cs="仿宋_GB2312"/>
                <w:spacing w:val="-6"/>
                <w:sz w:val="32"/>
              </w:rPr>
            </w:pPr>
          </w:p>
        </w:tc>
        <w:tc>
          <w:tcPr>
            <w:tcW w:w="1925" w:type="dxa"/>
            <w:vAlign w:val="top"/>
          </w:tcPr>
          <w:p>
            <w:pPr>
              <w:pStyle w:val="5"/>
              <w:rPr>
                <w:rFonts w:ascii="仿宋_GB2312" w:hAnsi="仿宋_GB2312" w:eastAsia="仿宋_GB2312" w:cs="仿宋_GB2312"/>
                <w:spacing w:val="-6"/>
                <w:sz w:val="32"/>
              </w:rPr>
            </w:pPr>
          </w:p>
        </w:tc>
        <w:tc>
          <w:tcPr>
            <w:tcW w:w="2085" w:type="dxa"/>
            <w:vAlign w:val="top"/>
          </w:tcPr>
          <w:p>
            <w:pPr>
              <w:pStyle w:val="5"/>
              <w:rPr>
                <w:rFonts w:ascii="仿宋_GB2312" w:hAnsi="仿宋_GB2312" w:eastAsia="仿宋_GB2312" w:cs="仿宋_GB2312"/>
                <w:spacing w:val="-6"/>
                <w:sz w:val="32"/>
              </w:rPr>
            </w:pPr>
          </w:p>
        </w:tc>
      </w:tr>
    </w:tbl>
    <w:p>
      <w:pPr>
        <w:pStyle w:val="5"/>
        <w:spacing w:line="360" w:lineRule="exact"/>
        <w:rPr>
          <w:rFonts w:ascii="仿宋_GB2312" w:hAnsi="仿宋_GB2312" w:eastAsia="仿宋_GB2312" w:cs="仿宋_GB2312"/>
          <w:spacing w:val="-6"/>
          <w:sz w:val="24"/>
          <w:szCs w:val="24"/>
        </w:rPr>
      </w:pPr>
      <w:r>
        <w:rPr>
          <w:rFonts w:ascii="仿宋_GB2312" w:hAnsi="仿宋_GB2312" w:eastAsia="仿宋_GB2312" w:cs="仿宋_GB2312"/>
          <w:spacing w:val="-6"/>
          <w:sz w:val="24"/>
          <w:szCs w:val="24"/>
        </w:rPr>
        <w:t xml:space="preserve"> </w:t>
      </w:r>
      <w:r>
        <w:rPr>
          <w:rFonts w:hint="eastAsia" w:ascii="仿宋_GB2312" w:hAnsi="仿宋_GB2312" w:eastAsia="仿宋_GB2312" w:cs="仿宋_GB2312"/>
          <w:spacing w:val="-6"/>
          <w:sz w:val="24"/>
          <w:szCs w:val="24"/>
        </w:rPr>
        <w:t>备</w:t>
      </w:r>
      <w:r>
        <w:rPr>
          <w:rFonts w:ascii="仿宋_GB2312" w:hAnsi="仿宋_GB2312" w:eastAsia="仿宋_GB2312" w:cs="仿宋_GB2312"/>
          <w:spacing w:val="-6"/>
          <w:sz w:val="24"/>
          <w:szCs w:val="24"/>
        </w:rPr>
        <w:t>注：1.原则上一个门牌号为1户；</w:t>
      </w:r>
    </w:p>
    <w:p>
      <w:pPr>
        <w:pStyle w:val="5"/>
        <w:tabs>
          <w:tab w:val="left" w:pos="840"/>
        </w:tabs>
        <w:spacing w:line="360" w:lineRule="exact"/>
        <w:ind w:left="734" w:hanging="734" w:hangingChars="322"/>
        <w:rPr>
          <w:rFonts w:ascii="仿宋_GB2312" w:hAnsi="仿宋_GB2312" w:eastAsia="仿宋_GB2312" w:cs="仿宋_GB2312"/>
          <w:spacing w:val="-6"/>
          <w:sz w:val="24"/>
          <w:szCs w:val="24"/>
        </w:rPr>
      </w:pPr>
      <w:r>
        <w:rPr>
          <w:rFonts w:ascii="仿宋_GB2312" w:hAnsi="仿宋_GB2312" w:eastAsia="仿宋_GB2312" w:cs="仿宋_GB2312"/>
          <w:spacing w:val="-6"/>
          <w:sz w:val="24"/>
          <w:szCs w:val="24"/>
        </w:rPr>
        <w:t xml:space="preserve">       2.“风险户数”指发现蚊虫孳生的户数；</w:t>
      </w:r>
      <w:r>
        <w:rPr>
          <w:rFonts w:hint="eastAsia" w:ascii="仿宋_GB2312" w:hAnsi="仿宋_GB2312" w:eastAsia="仿宋_GB2312" w:cs="仿宋_GB2312"/>
          <w:spacing w:val="-6"/>
          <w:sz w:val="24"/>
          <w:szCs w:val="24"/>
        </w:rPr>
        <w:t xml:space="preserve"> </w:t>
      </w:r>
      <w:r>
        <w:rPr>
          <w:rFonts w:ascii="仿宋_GB2312" w:hAnsi="仿宋_GB2312" w:eastAsia="仿宋_GB2312" w:cs="仿宋_GB2312"/>
          <w:spacing w:val="-6"/>
          <w:sz w:val="24"/>
          <w:szCs w:val="24"/>
        </w:rPr>
        <w:t>“孳生地”指</w:t>
      </w:r>
      <w:r>
        <w:rPr>
          <w:rFonts w:hint="eastAsia" w:ascii="仿宋_GB2312" w:hAnsi="仿宋_GB2312" w:eastAsia="仿宋_GB2312" w:cs="仿宋_GB2312"/>
          <w:spacing w:val="-6"/>
          <w:sz w:val="24"/>
          <w:szCs w:val="24"/>
        </w:rPr>
        <w:t>室内外</w:t>
      </w:r>
      <w:r>
        <w:rPr>
          <w:rFonts w:ascii="仿宋_GB2312" w:hAnsi="仿宋_GB2312" w:eastAsia="仿宋_GB2312" w:cs="仿宋_GB2312"/>
          <w:spacing w:val="-6"/>
          <w:sz w:val="24"/>
          <w:szCs w:val="24"/>
        </w:rPr>
        <w:t>水生植物、盆托、贮水池、假山石穴、废旧轮胎、容器性垃圾、闲置容器、低洼地</w:t>
      </w:r>
      <w:r>
        <w:rPr>
          <w:rFonts w:hint="eastAsia" w:ascii="仿宋_GB2312" w:hAnsi="仿宋_GB2312" w:eastAsia="仿宋_GB2312" w:cs="仿宋_GB2312"/>
          <w:spacing w:val="-6"/>
          <w:sz w:val="24"/>
          <w:szCs w:val="24"/>
        </w:rPr>
        <w:t>、饮水机托盘、自建屋工地地表及四周</w:t>
      </w:r>
      <w:r>
        <w:rPr>
          <w:rFonts w:ascii="仿宋_GB2312" w:hAnsi="仿宋_GB2312" w:eastAsia="仿宋_GB2312" w:cs="仿宋_GB2312"/>
          <w:spacing w:val="-6"/>
          <w:sz w:val="24"/>
          <w:szCs w:val="24"/>
        </w:rPr>
        <w:t>等小积水伊蚊孳生地。</w:t>
      </w:r>
      <w:r>
        <w:rPr>
          <w:rFonts w:hint="eastAsia" w:ascii="仿宋_GB2312" w:hAnsi="仿宋_GB2312" w:eastAsia="仿宋_GB2312" w:cs="仿宋_GB2312"/>
          <w:spacing w:val="-6"/>
          <w:sz w:val="24"/>
          <w:szCs w:val="24"/>
        </w:rPr>
        <w:t>无法清除的孳生地，必须及时投放药物、或者废旧机油杀灭蚊幼虫。</w:t>
      </w:r>
    </w:p>
    <w:p>
      <w:pPr>
        <w:pStyle w:val="5"/>
        <w:spacing w:line="360" w:lineRule="exact"/>
        <w:ind w:left="964" w:hanging="964" w:hangingChars="423"/>
        <w:rPr>
          <w:rFonts w:hint="eastAsia" w:ascii="仿宋_GB2312" w:hAnsi="仿宋_GB2312" w:eastAsia="仿宋_GB2312" w:cs="仿宋_GB2312"/>
          <w:spacing w:val="-6"/>
          <w:sz w:val="24"/>
          <w:szCs w:val="24"/>
        </w:rPr>
      </w:pPr>
      <w:r>
        <w:rPr>
          <w:rFonts w:hint="eastAsia" w:ascii="仿宋_GB2312" w:hAnsi="仿宋_GB2312" w:eastAsia="仿宋_GB2312" w:cs="仿宋_GB2312"/>
          <w:spacing w:val="-6"/>
          <w:sz w:val="24"/>
          <w:szCs w:val="24"/>
        </w:rPr>
        <w:t xml:space="preserve">       3.“公共区域巡查距离”指在</w:t>
      </w:r>
      <w:r>
        <w:rPr>
          <w:rFonts w:ascii="仿宋_GB2312" w:hAnsi="仿宋_GB2312" w:eastAsia="仿宋_GB2312" w:cs="仿宋_GB2312"/>
          <w:spacing w:val="-6"/>
          <w:sz w:val="24"/>
          <w:szCs w:val="24"/>
        </w:rPr>
        <w:t>外环境</w:t>
      </w:r>
      <w:r>
        <w:rPr>
          <w:rFonts w:hint="eastAsia" w:ascii="仿宋_GB2312" w:hAnsi="仿宋_GB2312" w:eastAsia="仿宋_GB2312" w:cs="仿宋_GB2312"/>
          <w:spacing w:val="-6"/>
          <w:sz w:val="24"/>
          <w:szCs w:val="24"/>
        </w:rPr>
        <w:t>公共</w:t>
      </w:r>
      <w:r>
        <w:rPr>
          <w:rFonts w:ascii="仿宋_GB2312" w:hAnsi="仿宋_GB2312" w:eastAsia="仿宋_GB2312" w:cs="仿宋_GB2312"/>
          <w:spacing w:val="-6"/>
          <w:sz w:val="24"/>
          <w:szCs w:val="24"/>
        </w:rPr>
        <w:t>场所(沿道路、建筑物四周、绿化带等)</w:t>
      </w:r>
      <w:r>
        <w:rPr>
          <w:rFonts w:hint="eastAsia" w:ascii="仿宋_GB2312" w:hAnsi="仿宋_GB2312" w:eastAsia="仿宋_GB2312" w:cs="仿宋_GB2312"/>
          <w:spacing w:val="-6"/>
          <w:sz w:val="24"/>
          <w:szCs w:val="24"/>
        </w:rPr>
        <w:t>巡查的大致距离，单位为米。</w:t>
      </w:r>
    </w:p>
    <w:p>
      <w:pPr>
        <w:spacing w:line="460" w:lineRule="exact"/>
        <w:ind w:left="1140" w:hanging="1140" w:hangingChars="500"/>
        <w:rPr>
          <w:rFonts w:hint="eastAsia" w:ascii="仿宋_GB2312" w:hAnsi="仿宋_GB2312" w:eastAsia="仿宋_GB2312" w:cs="仿宋_GB2312"/>
          <w:spacing w:val="-6"/>
          <w:sz w:val="24"/>
          <w:szCs w:val="24"/>
        </w:rPr>
      </w:pPr>
      <w:r>
        <w:rPr>
          <w:rFonts w:hint="eastAsia" w:ascii="仿宋_GB2312" w:hAnsi="仿宋_GB2312" w:eastAsia="仿宋_GB2312" w:cs="仿宋_GB2312"/>
          <w:spacing w:val="-6"/>
          <w:sz w:val="24"/>
          <w:szCs w:val="24"/>
        </w:rPr>
        <w:t xml:space="preserve">       4. 村（居）委、学校、医院通过爱卫微平台上报数据。其中，自然村、村小组、物业小区也可由村（居）委生成账户自行上报，注意避免重复。</w:t>
      </w:r>
    </w:p>
    <w:p>
      <w:pPr>
        <w:pStyle w:val="5"/>
        <w:spacing w:line="360" w:lineRule="exact"/>
        <w:ind w:left="964" w:hanging="964" w:hangingChars="423"/>
        <w:rPr>
          <w:rFonts w:hint="eastAsia" w:ascii="仿宋_GB2312" w:hAnsi="仿宋_GB2312" w:eastAsia="仿宋_GB2312" w:cs="仿宋_GB2312"/>
          <w:spacing w:val="-6"/>
          <w:sz w:val="24"/>
          <w:szCs w:val="24"/>
        </w:rPr>
      </w:pPr>
      <w:r>
        <w:rPr>
          <w:rFonts w:hint="eastAsia" w:ascii="仿宋_GB2312" w:hAnsi="仿宋_GB2312" w:eastAsia="仿宋_GB2312" w:cs="仿宋_GB2312"/>
          <w:spacing w:val="-6"/>
          <w:sz w:val="24"/>
          <w:szCs w:val="24"/>
        </w:rPr>
        <w:t xml:space="preserve">       5.所有项目都必填，无数据的填0，例如不入户调查，仅在外环境公共区域巡查，则“巡查户数”、“巡查自建屋工地数”、“风险户数”均填0。 </w:t>
      </w:r>
    </w:p>
    <w:p>
      <w:pPr>
        <w:pStyle w:val="5"/>
        <w:spacing w:line="360" w:lineRule="exact"/>
        <w:ind w:left="964" w:hanging="964" w:hangingChars="423"/>
        <w:rPr>
          <w:rFonts w:hint="eastAsia" w:ascii="仿宋_GB2312" w:hAnsi="仿宋_GB2312" w:eastAsia="仿宋_GB2312" w:cs="仿宋_GB2312"/>
          <w:spacing w:val="-6"/>
          <w:sz w:val="24"/>
          <w:szCs w:val="24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9C7AD7"/>
    <w:rsid w:val="109C7AD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 New New New New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 w:bidi="ar-SA"/>
    </w:rPr>
  </w:style>
  <w:style w:type="paragraph" w:customStyle="1" w:styleId="5">
    <w:name w:val="正文 New New New New New New New New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Office_11.1.0.8799_F1E327BC-269C-435d-A152-05C5408002CA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2020-04-21T08:19:00Z</dcterms:created>
  <dc:creator>EEEEE</dc:creator>
  <cp:lastModifiedBy>EEEEE</cp:lastModifiedBy>
  <dcterms:modified xsi:type="dcterms:W3CDTF">2020-04-21T08:20:24Z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2052-11.1.0.8799</vt:lpwstr>
  </property>
</Properties>
</file>